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4109" w14:textId="77777777" w:rsidR="00836E43" w:rsidRPr="00836E43" w:rsidRDefault="00836E43" w:rsidP="00836E43">
      <w:pPr>
        <w:shd w:val="clear" w:color="auto" w:fill="009EE3"/>
        <w:spacing w:line="240" w:lineRule="auto"/>
        <w:ind w:left="30"/>
        <w:outlineLvl w:val="1"/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</w:pPr>
      <w:r w:rsidRPr="00836E43">
        <w:rPr>
          <w:rFonts w:ascii="inherit" w:eastAsia="Times New Roman" w:hAnsi="inherit" w:cs="Times New Roman"/>
          <w:caps/>
          <w:color w:val="FFFFFF"/>
          <w:kern w:val="0"/>
          <w:sz w:val="42"/>
          <w:szCs w:val="42"/>
          <w:lang w:eastAsia="ro-RO"/>
          <w14:ligatures w14:val="none"/>
        </w:rPr>
        <w:t>Modalitatea de Contestare a deciziei si formularele aferente pentru reclamatie administrativa</w:t>
      </w:r>
    </w:p>
    <w:p w14:paraId="5A4FC8C4" w14:textId="77777777" w:rsidR="00836E43" w:rsidRPr="00836E43" w:rsidRDefault="00836E43" w:rsidP="00836E43">
      <w:pPr>
        <w:shd w:val="clear" w:color="auto" w:fill="FFFFFF"/>
        <w:spacing w:after="100" w:afterAutospacing="1" w:line="240" w:lineRule="auto"/>
        <w:outlineLvl w:val="2"/>
        <w:rPr>
          <w:rFonts w:ascii="Trebuchet MS" w:eastAsia="Times New Roman" w:hAnsi="Trebuchet MS" w:cs="Times New Roman"/>
          <w:color w:val="4E5861"/>
          <w:kern w:val="0"/>
          <w:sz w:val="27"/>
          <w:szCs w:val="27"/>
          <w:lang w:eastAsia="ro-RO"/>
          <w14:ligatures w14:val="none"/>
        </w:rPr>
      </w:pPr>
      <w:r w:rsidRPr="00836E43">
        <w:rPr>
          <w:rFonts w:ascii="Trebuchet MS" w:eastAsia="Times New Roman" w:hAnsi="Trebuchet MS" w:cs="Times New Roman"/>
          <w:b/>
          <w:bCs/>
          <w:color w:val="4E5861"/>
          <w:kern w:val="0"/>
          <w:sz w:val="27"/>
          <w:szCs w:val="27"/>
          <w:lang w:eastAsia="ro-RO"/>
          <w14:ligatures w14:val="none"/>
        </w:rPr>
        <w:t>Modalități de contestare a deciziei</w:t>
      </w:r>
    </w:p>
    <w:p w14:paraId="41D5E085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Modalităţile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contestare a deciziei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autorităţii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sau 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instituţiei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publice în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situaţia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în care persoana se consideră vătămată în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privinţa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dreptului de acces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interes public sunt cele prevăzute de art. 21 si 22 din </w:t>
      </w:r>
      <w:hyperlink r:id="rId5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Legea nr. 544/2001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, legea contenciosului administrative, precum si de art. 32-34 din </w:t>
      </w:r>
      <w:hyperlink r:id="rId6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HG nr. 123/2002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pentru aprobarea Normelor metodologice de aplicare a </w:t>
      </w:r>
      <w:hyperlink r:id="rId7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Legii nr. 544/2001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 privind liberul acces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interes public, respectiv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reclamatia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administrativa (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proedura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care nu este obligatorie) și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plangerea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inaintata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instantei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judecatoresti</w:t>
      </w:r>
      <w:proofErr w:type="spellEnd"/>
    </w:p>
    <w:p w14:paraId="45131593" w14:textId="77777777" w:rsidR="00836E43" w:rsidRPr="00836E43" w:rsidRDefault="00836E43" w:rsidP="00836E43">
      <w:pPr>
        <w:shd w:val="clear" w:color="auto" w:fill="FFFFFF"/>
        <w:spacing w:after="100" w:afterAutospacing="1" w:line="240" w:lineRule="auto"/>
        <w:outlineLvl w:val="2"/>
        <w:rPr>
          <w:rFonts w:ascii="Trebuchet MS" w:eastAsia="Times New Roman" w:hAnsi="Trebuchet MS" w:cs="Times New Roman"/>
          <w:color w:val="4E5861"/>
          <w:kern w:val="0"/>
          <w:sz w:val="27"/>
          <w:szCs w:val="27"/>
          <w:lang w:eastAsia="ro-RO"/>
          <w14:ligatures w14:val="none"/>
        </w:rPr>
      </w:pPr>
      <w:r w:rsidRPr="00836E43">
        <w:rPr>
          <w:rFonts w:ascii="Trebuchet MS" w:eastAsia="Times New Roman" w:hAnsi="Trebuchet MS" w:cs="Times New Roman"/>
          <w:b/>
          <w:bCs/>
          <w:color w:val="4E5861"/>
          <w:kern w:val="0"/>
          <w:sz w:val="27"/>
          <w:szCs w:val="27"/>
          <w:lang w:eastAsia="ro-RO"/>
          <w14:ligatures w14:val="none"/>
        </w:rPr>
        <w:t>Procedura</w:t>
      </w:r>
    </w:p>
    <w:p w14:paraId="082F7848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Procedura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reclamatiei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administrative este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prevazuta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art. 21 din </w:t>
      </w:r>
      <w:hyperlink r:id="rId8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Legea nr. 544/2001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 și art. 32 din </w:t>
      </w:r>
      <w:hyperlink r:id="rId9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HG nr. 123/2002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.</w:t>
      </w:r>
    </w:p>
    <w:p w14:paraId="20260766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Potrivit art. 21 din </w:t>
      </w:r>
      <w:hyperlink r:id="rId10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Legea nr. 544/2001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 privind liberul acces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interes public, ”Refuzul explicit sau tacit al angajatului desemnat al unei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autorităţi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ori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instituţii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publice pentru aplicarea prevederilor prezentei legi constituie abatere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atrage răspunderea disciplinară a celui vinovat.</w:t>
      </w:r>
    </w:p>
    <w:p w14:paraId="6DF69218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(2) Împotriva refuzului prevăzut la alin. (1) se poate depune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reclamaţie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la conducătorul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autorităţii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sau al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instituţiei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publice respective în termen de 30 de zile de la luarea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cunoştinţă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către persoana lezată.</w:t>
      </w:r>
    </w:p>
    <w:p w14:paraId="274F8BD8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(3) Dacă după cercetarea administrativă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reclamaţia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se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dovedeşte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întemeiată, răspunsul se transmite persoanei lezate în termen de 15 zile de la depunerea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reclamaţiei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va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conţine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atât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interes public solicitate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iniţial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, cât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şi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menţionarea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sancţiunilor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disciplinare luate împotriva celui vinovat.”</w:t>
      </w:r>
    </w:p>
    <w:p w14:paraId="31B4B151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Art. 32 din </w:t>
      </w:r>
      <w:hyperlink r:id="rId11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HG nr. 123/2002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: ”În cazul în care o persoană consideră că dreptul privind accesul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interes public a fost încălcat, aceasta se poate adresa cu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reclamaţie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administrativă conducătorului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autorităţii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sau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instituţiei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publice căreia i-a fost solicitată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.”</w:t>
      </w:r>
    </w:p>
    <w:p w14:paraId="7C032DB7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Reclamatiile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administrative sunt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solutionate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Comisia de analiză privind încălcarea dreptului de acces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informaţiile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interes public, constituita potrivit art.35 din </w:t>
      </w:r>
      <w:hyperlink r:id="rId12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HG nr. 123/2002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, prin ordin al ministrului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justitiei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.</w:t>
      </w:r>
    </w:p>
    <w:p w14:paraId="20FDB5A6" w14:textId="77777777" w:rsidR="00836E43" w:rsidRPr="00836E43" w:rsidRDefault="00836E43" w:rsidP="00836E43">
      <w:pPr>
        <w:shd w:val="clear" w:color="auto" w:fill="FFFFFF"/>
        <w:spacing w:after="100" w:afterAutospacing="1" w:line="330" w:lineRule="atLeast"/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</w:pP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lastRenderedPageBreak/>
        <w:t>Plangerea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instanta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contencios administrativ este reglementata de art. 22 din </w:t>
      </w:r>
      <w:hyperlink r:id="rId13" w:tgtFrame="_blank" w:tooltip="(opens in a new window)" w:history="1">
        <w:r w:rsidRPr="00836E43">
          <w:rPr>
            <w:rFonts w:ascii="Trebuchet MS" w:eastAsia="Times New Roman" w:hAnsi="Trebuchet MS" w:cs="Times New Roman"/>
            <w:b/>
            <w:bCs/>
            <w:color w:val="007BFF"/>
            <w:kern w:val="0"/>
            <w:sz w:val="24"/>
            <w:szCs w:val="24"/>
            <w:lang w:eastAsia="ro-RO"/>
            <w14:ligatures w14:val="none"/>
          </w:rPr>
          <w:t>Legea nr. 544/2001</w:t>
        </w:r>
      </w:hyperlink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, care la alin. 1 prevede că ”În cazul în care o persoană se consideră vătămată în drepturile sale, prevăzute în prezenta lege, aceasta poate face plângere la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secţia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de contencios administrativ a tribunalului în a cărei rază teritorială domiciliază sau în a cărei rază teritorială se află sediul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autorităţii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ori al </w:t>
      </w:r>
      <w:proofErr w:type="spellStart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>instituţiei</w:t>
      </w:r>
      <w:proofErr w:type="spellEnd"/>
      <w:r w:rsidRPr="00836E43">
        <w:rPr>
          <w:rFonts w:ascii="Trebuchet MS" w:eastAsia="Times New Roman" w:hAnsi="Trebuchet MS" w:cs="Times New Roman"/>
          <w:color w:val="4E5861"/>
          <w:kern w:val="0"/>
          <w:sz w:val="24"/>
          <w:szCs w:val="24"/>
          <w:lang w:eastAsia="ro-RO"/>
          <w14:ligatures w14:val="none"/>
        </w:rPr>
        <w:t xml:space="preserve"> publice. Plângerea se face în termen de 30 de zile de la data expirării termenului prevăzut la art. 7.”</w:t>
      </w:r>
    </w:p>
    <w:p w14:paraId="45B66BD5" w14:textId="77777777" w:rsidR="009A7B36" w:rsidRDefault="009A7B36"/>
    <w:sectPr w:rsidR="009A7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D3E00"/>
    <w:multiLevelType w:val="multilevel"/>
    <w:tmpl w:val="929C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8074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4B"/>
    <w:rsid w:val="0027254B"/>
    <w:rsid w:val="00614AE1"/>
    <w:rsid w:val="00836E43"/>
    <w:rsid w:val="009A7B36"/>
    <w:rsid w:val="00BF3AB8"/>
    <w:rsid w:val="00D9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A5E21"/>
  <w15:chartTrackingRefBased/>
  <w15:docId w15:val="{92B733E8-CF3A-4CD2-8F25-3DBF0E7B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272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2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2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2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2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2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2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2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2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2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2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2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254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254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254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254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254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254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72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72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2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2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72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7254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7254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7254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2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254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72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2895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82443">
                          <w:marLeft w:val="0"/>
                          <w:marRight w:val="-225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1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5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803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8536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13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8007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5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944536">
                              <w:marLeft w:val="0"/>
                              <w:marRight w:val="-225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06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433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0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tie.just.ro/Public/DetaliiDocument/31413" TargetMode="External"/><Relationship Id="rId13" Type="http://schemas.openxmlformats.org/officeDocument/2006/relationships/hyperlink" Target="http://legislatie.just.ro/Public/DetaliiDocument/31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tie.just.ro/Public/DetaliiDocument/31413" TargetMode="External"/><Relationship Id="rId12" Type="http://schemas.openxmlformats.org/officeDocument/2006/relationships/hyperlink" Target="http://legislatie.just.ro/Public/DetaliiDocument/34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gislatie.just.ro/Public/DetaliiDocument/34416" TargetMode="External"/><Relationship Id="rId11" Type="http://schemas.openxmlformats.org/officeDocument/2006/relationships/hyperlink" Target="http://legislatie.just.ro/Public/DetaliiDocument/34416" TargetMode="External"/><Relationship Id="rId5" Type="http://schemas.openxmlformats.org/officeDocument/2006/relationships/hyperlink" Target="http://legislatie.just.ro/Public/DetaliiDocument/3141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egislatie.just.ro/Public/DetaliiDocument/31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islatie.just.ro/Public/DetaliiDocument/344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resurse umane3sp</dc:creator>
  <cp:keywords/>
  <dc:description/>
  <cp:lastModifiedBy>resurse umane3sp</cp:lastModifiedBy>
  <cp:revision>2</cp:revision>
  <dcterms:created xsi:type="dcterms:W3CDTF">2025-05-27T07:48:00Z</dcterms:created>
  <dcterms:modified xsi:type="dcterms:W3CDTF">2025-05-27T07:48:00Z</dcterms:modified>
</cp:coreProperties>
</file>